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275159" cy="9738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159" cy="97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Aloha e XXXX,  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On behalf of the YMCA of Honolulu, an organization I am honored to support, I would like you to join me in providing a helping hand, through your donation, to build a vibrant community of resilient youth, thriving kūpuna, and healthy families.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 one of Hawaii’s largest providers of youth and teen programs, the Y plays a vital role in offering our youth mental wellness services to address their growing mental health challenges. With the guidance of our highly-trained Y staff, hundreds of teens receive the help they need from professionals who truly care.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Your helping hand makes this possible.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With nearly 20% of Honolulu’s population aged 60 and older, the Y serves as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vital space where kūpuna can build lasting friendships, enjoy free meals, improve their mobility through classes, and feel welcome and safe.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Your helping hand makes this possible.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 working families, financial assistance provides them access to quality early learning programs for their keiki so they can better provide for their loved ones and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achieve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their full potential.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Your helping hand makes this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There is no greater joy than knowing your support has enriched someone’s life and filled it with hope. Please join me in making a difference—donate today.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More information about the Y and its programs, please visit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https://bit.ly/YMCAAnnual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 or scan: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 your convenience, you may make an online gift at: https://www.ymcahonolulu.org/donate.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Mahalo,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XXXX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bit.ly/YMCAAn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